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55BBA" w:rsidRDefault="00355BB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F1B306" wp14:editId="126DCCA4">
                <wp:simplePos x="0" y="0"/>
                <wp:positionH relativeFrom="margin">
                  <wp:posOffset>7620</wp:posOffset>
                </wp:positionH>
                <wp:positionV relativeFrom="paragraph">
                  <wp:posOffset>59690</wp:posOffset>
                </wp:positionV>
                <wp:extent cx="5920740" cy="15240"/>
                <wp:effectExtent l="19050" t="19050" r="22860" b="2286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920740" cy="1524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28CF78" id="Straight Connector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.6pt,4.7pt" to="466.8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" strokecolor="#538135 [2409]" strokeweight="2.75pt">
                <v:stroke joinstyle="miter"/>
                <w10:wrap anchorx="margin"/>
              </v:line>
            </w:pict>
          </mc:Fallback>
        </mc:AlternateContent>
      </w:r>
    </w:p>
    <w:p w:rsidR="008E42EB" w:rsidRDefault="008E42EB" w:rsidP="00201B3B">
      <w:pPr>
        <w:spacing w:after="0" w:line="276" w:lineRule="auto"/>
        <w:rPr>
          <w:rFonts w:ascii="Georgia" w:hAnsi="Georgia"/>
          <w:b/>
          <w:color w:val="538135" w:themeColor="accent6" w:themeShade="BF"/>
          <w:sz w:val="24"/>
          <w:szCs w:val="24"/>
        </w:rPr>
      </w:pPr>
    </w:p>
    <w:p w:rsidR="009C0966" w:rsidRPr="008B271B" w:rsidRDefault="003F7CF2" w:rsidP="00FD6797">
      <w:pPr>
        <w:spacing w:after="0" w:line="276" w:lineRule="auto"/>
        <w:rPr>
          <w:rFonts w:ascii="Georgia" w:hAnsi="Georgia"/>
          <w:sz w:val="28"/>
          <w:szCs w:val="24"/>
        </w:rPr>
      </w:pPr>
      <w:r w:rsidRPr="008B271B">
        <w:rPr>
          <w:rFonts w:ascii="Georgia" w:hAnsi="Georgia"/>
          <w:b/>
          <w:color w:val="538135" w:themeColor="accent6" w:themeShade="BF"/>
          <w:sz w:val="28"/>
          <w:szCs w:val="24"/>
        </w:rPr>
        <w:t xml:space="preserve">The number of people </w:t>
      </w:r>
      <w:r w:rsidR="000B2989" w:rsidRPr="008B271B">
        <w:rPr>
          <w:rFonts w:ascii="Georgia" w:hAnsi="Georgia"/>
          <w:sz w:val="28"/>
          <w:szCs w:val="24"/>
        </w:rPr>
        <w:t>with I</w:t>
      </w:r>
      <w:r w:rsidR="006756D2" w:rsidRPr="008B271B">
        <w:rPr>
          <w:rFonts w:ascii="Georgia" w:hAnsi="Georgia"/>
          <w:sz w:val="28"/>
          <w:szCs w:val="24"/>
        </w:rPr>
        <w:t xml:space="preserve">ntellectual and </w:t>
      </w:r>
      <w:r w:rsidR="000B2989" w:rsidRPr="008B271B">
        <w:rPr>
          <w:rFonts w:ascii="Georgia" w:hAnsi="Georgia"/>
          <w:sz w:val="28"/>
          <w:szCs w:val="24"/>
        </w:rPr>
        <w:t>D</w:t>
      </w:r>
      <w:r w:rsidR="006756D2" w:rsidRPr="008B271B">
        <w:rPr>
          <w:rFonts w:ascii="Georgia" w:hAnsi="Georgia"/>
          <w:sz w:val="28"/>
          <w:szCs w:val="24"/>
        </w:rPr>
        <w:t xml:space="preserve">evelopmental </w:t>
      </w:r>
      <w:r w:rsidR="000B2989" w:rsidRPr="008B271B">
        <w:rPr>
          <w:rFonts w:ascii="Georgia" w:hAnsi="Georgia"/>
          <w:sz w:val="28"/>
          <w:szCs w:val="24"/>
        </w:rPr>
        <w:t>D</w:t>
      </w:r>
      <w:r w:rsidR="006756D2" w:rsidRPr="008B271B">
        <w:rPr>
          <w:rFonts w:ascii="Georgia" w:hAnsi="Georgia"/>
          <w:sz w:val="28"/>
          <w:szCs w:val="24"/>
        </w:rPr>
        <w:t>isabilities (IDD)</w:t>
      </w:r>
      <w:r w:rsidR="000B2989" w:rsidRPr="008B271B">
        <w:rPr>
          <w:rFonts w:ascii="Georgia" w:hAnsi="Georgia"/>
          <w:sz w:val="28"/>
          <w:szCs w:val="24"/>
        </w:rPr>
        <w:t xml:space="preserve"> </w:t>
      </w:r>
      <w:r w:rsidR="00CC5F4A" w:rsidRPr="008B271B">
        <w:rPr>
          <w:rFonts w:ascii="Georgia" w:hAnsi="Georgia"/>
          <w:sz w:val="28"/>
          <w:szCs w:val="24"/>
        </w:rPr>
        <w:t xml:space="preserve">receiving long-term supports and services while </w:t>
      </w:r>
      <w:r w:rsidR="000B2989" w:rsidRPr="008B271B">
        <w:rPr>
          <w:rFonts w:ascii="Georgia" w:hAnsi="Georgia"/>
          <w:sz w:val="28"/>
          <w:szCs w:val="24"/>
        </w:rPr>
        <w:t xml:space="preserve">living with their families </w:t>
      </w:r>
      <w:r w:rsidR="00CC5F4A" w:rsidRPr="008B271B">
        <w:rPr>
          <w:rFonts w:ascii="Georgia" w:hAnsi="Georgia"/>
          <w:sz w:val="28"/>
          <w:szCs w:val="24"/>
        </w:rPr>
        <w:t xml:space="preserve">in Ohio grew from </w:t>
      </w:r>
      <w:r w:rsidRPr="008B271B">
        <w:rPr>
          <w:rFonts w:ascii="Georgia" w:hAnsi="Georgia"/>
          <w:sz w:val="28"/>
          <w:szCs w:val="24"/>
        </w:rPr>
        <w:t>grew</w:t>
      </w:r>
      <w:r w:rsidR="00201B3B" w:rsidRPr="008B271B">
        <w:rPr>
          <w:rFonts w:ascii="Georgia" w:hAnsi="Georgia"/>
          <w:sz w:val="28"/>
          <w:szCs w:val="24"/>
        </w:rPr>
        <w:t xml:space="preserve"> </w:t>
      </w:r>
      <w:r w:rsidR="00CC5F4A" w:rsidRPr="008B271B">
        <w:rPr>
          <w:rFonts w:ascii="Georgia" w:hAnsi="Georgia"/>
          <w:sz w:val="28"/>
          <w:szCs w:val="24"/>
        </w:rPr>
        <w:t>from 26,912 (counting only adults) in 1996 to 69,358 in 2013 (including children and adults)</w:t>
      </w:r>
      <w:r w:rsidR="00201B3B" w:rsidRPr="008B271B">
        <w:rPr>
          <w:rFonts w:ascii="Georgia" w:hAnsi="Georgia"/>
          <w:sz w:val="28"/>
          <w:szCs w:val="24"/>
        </w:rPr>
        <w:t xml:space="preserve">.  </w:t>
      </w:r>
      <w:r w:rsidR="00CC5F4A" w:rsidRPr="008B271B">
        <w:rPr>
          <w:rFonts w:ascii="Georgia" w:hAnsi="Georgia"/>
          <w:sz w:val="28"/>
          <w:szCs w:val="24"/>
        </w:rPr>
        <w:t xml:space="preserve">The number of people </w:t>
      </w:r>
      <w:r w:rsidR="007D4B43" w:rsidRPr="008B271B">
        <w:rPr>
          <w:rFonts w:ascii="Georgia" w:hAnsi="Georgia"/>
          <w:sz w:val="28"/>
          <w:szCs w:val="24"/>
        </w:rPr>
        <w:t xml:space="preserve">receiving </w:t>
      </w:r>
      <w:r w:rsidR="00CC5F4A" w:rsidRPr="008B271B">
        <w:rPr>
          <w:rFonts w:ascii="Georgia" w:hAnsi="Georgia"/>
          <w:sz w:val="28"/>
          <w:szCs w:val="24"/>
        </w:rPr>
        <w:t xml:space="preserve">supports while living in homes they owned or leased increased from 3,058 in 1996 to 14,837 in 2013. </w:t>
      </w:r>
    </w:p>
    <w:p w:rsidR="008E42EB" w:rsidRDefault="008E42EB" w:rsidP="00FD6797">
      <w:pPr>
        <w:spacing w:after="0" w:line="276" w:lineRule="auto"/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185567F" wp14:editId="4353FA83">
            <wp:simplePos x="0" y="0"/>
            <wp:positionH relativeFrom="column">
              <wp:posOffset>-171450</wp:posOffset>
            </wp:positionH>
            <wp:positionV relativeFrom="paragraph">
              <wp:posOffset>80010</wp:posOffset>
            </wp:positionV>
            <wp:extent cx="3438525" cy="2758440"/>
            <wp:effectExtent l="0" t="0" r="0" b="3810"/>
            <wp:wrapNone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D4B43" w:rsidRDefault="007D4B43" w:rsidP="00FD6797">
      <w:pPr>
        <w:spacing w:after="0" w:line="276" w:lineRule="auto"/>
        <w:rPr>
          <w:rFonts w:ascii="Georgia" w:hAnsi="Georgia"/>
          <w:sz w:val="24"/>
          <w:szCs w:val="24"/>
        </w:rPr>
      </w:pPr>
    </w:p>
    <w:p w:rsidR="007D4B43" w:rsidRDefault="007D4B43" w:rsidP="00FD6797">
      <w:pPr>
        <w:spacing w:after="0" w:line="276" w:lineRule="auto"/>
      </w:pPr>
    </w:p>
    <w:p w:rsidR="00FD6797" w:rsidRPr="00FD6797" w:rsidRDefault="00FD6797" w:rsidP="00FD6797">
      <w:pPr>
        <w:spacing w:after="0" w:line="276" w:lineRule="auto"/>
        <w:rPr>
          <w:rFonts w:ascii="Georgia" w:hAnsi="Georgia"/>
          <w:sz w:val="24"/>
          <w:szCs w:val="24"/>
        </w:rPr>
      </w:pPr>
    </w:p>
    <w:p w:rsidR="00FD6797" w:rsidRPr="00FD6797" w:rsidRDefault="00FD6797" w:rsidP="00FD6797">
      <w:pPr>
        <w:spacing w:after="0" w:line="276" w:lineRule="auto"/>
        <w:rPr>
          <w:rFonts w:ascii="Georgia" w:hAnsi="Georgia"/>
          <w:sz w:val="24"/>
          <w:szCs w:val="24"/>
        </w:rPr>
      </w:pPr>
    </w:p>
    <w:p w:rsidR="007F209B" w:rsidRPr="00FD6797" w:rsidRDefault="007F209B">
      <w:pPr>
        <w:rPr>
          <w:rFonts w:ascii="Georgia" w:hAnsi="Georgia"/>
          <w:sz w:val="24"/>
          <w:szCs w:val="24"/>
        </w:rPr>
      </w:pPr>
    </w:p>
    <w:p w:rsidR="007F209B" w:rsidRPr="00FD6797" w:rsidRDefault="007F209B">
      <w:pPr>
        <w:rPr>
          <w:rFonts w:ascii="Georgia" w:hAnsi="Georgia"/>
          <w:sz w:val="24"/>
          <w:szCs w:val="24"/>
        </w:rPr>
      </w:pPr>
    </w:p>
    <w:p w:rsidR="007F209B" w:rsidRPr="00FD6797" w:rsidRDefault="007F209B">
      <w:pPr>
        <w:rPr>
          <w:rFonts w:ascii="Georgia" w:hAnsi="Georgia"/>
          <w:sz w:val="24"/>
          <w:szCs w:val="24"/>
        </w:rPr>
      </w:pPr>
    </w:p>
    <w:p w:rsidR="007F209B" w:rsidRPr="00FD6797" w:rsidRDefault="007F209B">
      <w:pPr>
        <w:rPr>
          <w:rFonts w:ascii="Georgia" w:hAnsi="Georgia"/>
          <w:sz w:val="24"/>
          <w:szCs w:val="24"/>
        </w:rPr>
      </w:pPr>
    </w:p>
    <w:p w:rsidR="007F209B" w:rsidRPr="00FD6797" w:rsidRDefault="0024675E">
      <w:pPr>
        <w:rPr>
          <w:rFonts w:ascii="Georgia" w:hAnsi="Georgi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4CC18B8" wp14:editId="34DD34DE">
            <wp:simplePos x="0" y="0"/>
            <wp:positionH relativeFrom="column">
              <wp:posOffset>3508375</wp:posOffset>
            </wp:positionH>
            <wp:positionV relativeFrom="paragraph">
              <wp:posOffset>162560</wp:posOffset>
            </wp:positionV>
            <wp:extent cx="3643630" cy="2474595"/>
            <wp:effectExtent l="0" t="0" r="0" b="1905"/>
            <wp:wrapTopAndBottom/>
            <wp:docPr id="19" name="Chart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E42EB" w:rsidRDefault="008E42EB">
      <w:pPr>
        <w:rPr>
          <w:rFonts w:ascii="Georgia" w:hAnsi="Georgia"/>
          <w:sz w:val="24"/>
          <w:szCs w:val="24"/>
        </w:rPr>
      </w:pPr>
    </w:p>
    <w:p w:rsidR="008E42EB" w:rsidRDefault="008E42EB">
      <w:pPr>
        <w:rPr>
          <w:rFonts w:ascii="Georgia" w:hAnsi="Georgia"/>
          <w:sz w:val="24"/>
          <w:szCs w:val="24"/>
        </w:rPr>
      </w:pPr>
    </w:p>
    <w:p w:rsidR="00EB3FEF" w:rsidRDefault="008E42EB">
      <w:pPr>
        <w:rPr>
          <w:rFonts w:ascii="Georgia" w:hAnsi="Georgia"/>
          <w:sz w:val="28"/>
          <w:szCs w:val="24"/>
        </w:rPr>
      </w:pPr>
      <w:r w:rsidRPr="008B271B">
        <w:rPr>
          <w:rFonts w:ascii="Georgia" w:hAnsi="Georgia"/>
          <w:sz w:val="28"/>
          <w:szCs w:val="24"/>
        </w:rPr>
        <w:t xml:space="preserve">Of the 102,661 people in Ohio receiving one or more long term </w:t>
      </w:r>
      <w:r w:rsidR="008B271B">
        <w:rPr>
          <w:rFonts w:ascii="Georgia" w:hAnsi="Georgia"/>
          <w:sz w:val="28"/>
          <w:szCs w:val="24"/>
        </w:rPr>
        <w:t>support or services through the</w:t>
      </w:r>
      <w:r w:rsidRPr="008B271B">
        <w:rPr>
          <w:rFonts w:ascii="Georgia" w:hAnsi="Georgia"/>
          <w:sz w:val="28"/>
          <w:szCs w:val="24"/>
        </w:rPr>
        <w:t xml:space="preserve"> state IDD agency on June 30, 2013, </w:t>
      </w:r>
      <w:r w:rsidR="006756D2" w:rsidRPr="008B271B">
        <w:rPr>
          <w:rFonts w:ascii="Georgia" w:hAnsi="Georgia"/>
          <w:sz w:val="28"/>
          <w:szCs w:val="24"/>
        </w:rPr>
        <w:t>68% lived</w:t>
      </w:r>
      <w:r w:rsidRPr="008B271B">
        <w:rPr>
          <w:rFonts w:ascii="Georgia" w:hAnsi="Georgia"/>
          <w:sz w:val="28"/>
          <w:szCs w:val="24"/>
        </w:rPr>
        <w:t xml:space="preserve"> in the home of a family member, 14% lived in a home they owned or leased, and 18% lived in other types of settings such as group homes, foster homes, or IDD facilities. </w:t>
      </w:r>
    </w:p>
    <w:p w:rsidR="007F209B" w:rsidRPr="008B271B" w:rsidRDefault="006756D2">
      <w:pPr>
        <w:rPr>
          <w:rFonts w:ascii="Georgia" w:hAnsi="Georgia"/>
          <w:sz w:val="28"/>
          <w:szCs w:val="24"/>
        </w:rPr>
      </w:pPr>
      <w:r w:rsidRPr="008B271B">
        <w:rPr>
          <w:rFonts w:ascii="Georgia" w:hAnsi="Georgia"/>
          <w:sz w:val="28"/>
          <w:szCs w:val="24"/>
        </w:rPr>
        <w:t xml:space="preserve"> </w:t>
      </w:r>
    </w:p>
    <w:p w:rsidR="007F209B" w:rsidRPr="00FD6797" w:rsidRDefault="008B271B">
      <w:pPr>
        <w:rPr>
          <w:rFonts w:ascii="Georgia" w:hAnsi="Georgia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A7489D7" wp14:editId="43D8DA9E">
            <wp:simplePos x="0" y="0"/>
            <wp:positionH relativeFrom="column">
              <wp:posOffset>-19685</wp:posOffset>
            </wp:positionH>
            <wp:positionV relativeFrom="paragraph">
              <wp:posOffset>292735</wp:posOffset>
            </wp:positionV>
            <wp:extent cx="2924175" cy="2400300"/>
            <wp:effectExtent l="0" t="0" r="0" b="0"/>
            <wp:wrapNone/>
            <wp:docPr id="18" name="Chart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209B" w:rsidRDefault="007F209B"/>
    <w:p w:rsidR="007F209B" w:rsidRDefault="007F209B"/>
    <w:p w:rsidR="009938AF" w:rsidRDefault="009938AF">
      <w:pPr>
        <w:rPr>
          <w:rFonts w:ascii="Georgia" w:hAnsi="Georgia"/>
          <w:sz w:val="24"/>
          <w:szCs w:val="24"/>
        </w:rPr>
      </w:pPr>
    </w:p>
    <w:p w:rsidR="009938AF" w:rsidRDefault="009938AF">
      <w:pPr>
        <w:rPr>
          <w:rFonts w:ascii="Georgia" w:hAnsi="Georgia"/>
          <w:sz w:val="24"/>
          <w:szCs w:val="24"/>
        </w:rPr>
      </w:pPr>
    </w:p>
    <w:p w:rsidR="009938AF" w:rsidRDefault="009938AF">
      <w:pPr>
        <w:rPr>
          <w:rFonts w:ascii="Georgia" w:hAnsi="Georgia"/>
          <w:sz w:val="24"/>
          <w:szCs w:val="24"/>
        </w:rPr>
      </w:pPr>
    </w:p>
    <w:p w:rsidR="009938AF" w:rsidRDefault="009938AF">
      <w:pPr>
        <w:rPr>
          <w:rFonts w:ascii="Georgia" w:hAnsi="Georgia"/>
          <w:sz w:val="24"/>
          <w:szCs w:val="24"/>
        </w:rPr>
      </w:pPr>
    </w:p>
    <w:p w:rsidR="009938AF" w:rsidRDefault="009938AF">
      <w:pPr>
        <w:rPr>
          <w:rFonts w:ascii="Georgia" w:hAnsi="Georgia"/>
          <w:sz w:val="24"/>
          <w:szCs w:val="24"/>
        </w:rPr>
      </w:pPr>
    </w:p>
    <w:p w:rsidR="00CC5F4A" w:rsidRDefault="00CC5F4A">
      <w:pPr>
        <w:rPr>
          <w:rFonts w:ascii="Georgia" w:hAnsi="Georgia"/>
          <w:sz w:val="24"/>
          <w:szCs w:val="24"/>
        </w:rPr>
      </w:pPr>
    </w:p>
    <w:p w:rsidR="007F209B" w:rsidRDefault="007F209B">
      <w:pPr>
        <w:rPr>
          <w:rFonts w:ascii="Georgia" w:hAnsi="Georgia"/>
          <w:sz w:val="24"/>
          <w:szCs w:val="24"/>
        </w:rPr>
      </w:pPr>
    </w:p>
    <w:p w:rsidR="0024675E" w:rsidRDefault="0081458B">
      <w:pPr>
        <w:rPr>
          <w:noProof/>
        </w:rPr>
      </w:pPr>
      <w:r>
        <w:rPr>
          <w:rFonts w:ascii="Georgia" w:hAnsi="Georgia"/>
          <w:sz w:val="28"/>
          <w:szCs w:val="24"/>
        </w:rPr>
        <w:t>A total of 32,853 people with IDD in Ohio received Long-Term Supports and Services funded by a Medicaid Waiver. Of those, 6,058 were birth to 21 years</w:t>
      </w:r>
      <w:r w:rsidR="00821432">
        <w:rPr>
          <w:rFonts w:ascii="Georgia" w:hAnsi="Georgia"/>
          <w:sz w:val="28"/>
          <w:szCs w:val="24"/>
        </w:rPr>
        <w:t xml:space="preserve"> old</w:t>
      </w:r>
      <w:r>
        <w:rPr>
          <w:rFonts w:ascii="Georgia" w:hAnsi="Georgia"/>
          <w:sz w:val="28"/>
          <w:szCs w:val="24"/>
        </w:rPr>
        <w:t>, and 26,795 were 22 years old or older.</w:t>
      </w:r>
      <w:r w:rsidR="00821432">
        <w:rPr>
          <w:rFonts w:ascii="Georgia" w:hAnsi="Georgia"/>
          <w:sz w:val="28"/>
          <w:szCs w:val="24"/>
        </w:rPr>
        <w:t xml:space="preserve"> About 1/3 of Waiver recipients living with a family member were 21 years or younger, but nearly all of the Waiver recipients living in other settings were adults.</w:t>
      </w:r>
    </w:p>
    <w:p w:rsidR="007F209B" w:rsidRDefault="007F209B">
      <w:pPr>
        <w:rPr>
          <w:noProof/>
        </w:rPr>
      </w:pPr>
    </w:p>
    <w:p w:rsidR="00AA768D" w:rsidRDefault="00AA768D"/>
    <w:sectPr w:rsidR="00AA768D" w:rsidSect="008B271B">
      <w:headerReference w:type="default" r:id="rId9"/>
      <w:footerReference w:type="default" r:id="rId10"/>
      <w:pgSz w:w="12240" w:h="15840"/>
      <w:pgMar w:top="1440" w:right="720" w:bottom="1440" w:left="720" w:header="720" w:footer="821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AA" w:rsidRDefault="008673AA" w:rsidP="00004AC9">
      <w:pPr>
        <w:spacing w:after="0" w:line="240" w:lineRule="auto"/>
      </w:pPr>
      <w:r>
        <w:separator/>
      </w:r>
    </w:p>
  </w:endnote>
  <w:endnote w:type="continuationSeparator" w:id="0">
    <w:p w:rsidR="008673AA" w:rsidRDefault="008673AA" w:rsidP="00004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Open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9" w:rsidRDefault="0024675E" w:rsidP="0024675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1881963</wp:posOffset>
              </wp:positionH>
              <wp:positionV relativeFrom="paragraph">
                <wp:posOffset>-73394</wp:posOffset>
              </wp:positionV>
              <wp:extent cx="5199321" cy="653651"/>
              <wp:effectExtent l="0" t="0" r="20955" b="1333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99321" cy="653651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4675E" w:rsidRDefault="0024675E" w:rsidP="0024675E">
                          <w:pPr>
                            <w:jc w:val="both"/>
                          </w:pPr>
                          <w:r>
                            <w:rPr>
                              <w:sz w:val="16"/>
                            </w:rPr>
                            <w:t xml:space="preserve">Data Source: Larson, S.A.,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Ai</w:t>
                          </w:r>
                          <w:r w:rsidRPr="0024675E">
                            <w:rPr>
                              <w:sz w:val="16"/>
                            </w:rPr>
                            <w:t>iken</w:t>
                          </w:r>
                          <w:proofErr w:type="spellEnd"/>
                          <w:r w:rsidRPr="0024675E">
                            <w:rPr>
                              <w:sz w:val="16"/>
                            </w:rPr>
                            <w:t xml:space="preserve">, F., Hewitt, A., </w:t>
                          </w:r>
                          <w:proofErr w:type="spellStart"/>
                          <w:r w:rsidRPr="0024675E">
                            <w:rPr>
                              <w:sz w:val="16"/>
                            </w:rPr>
                            <w:t>Pettingell</w:t>
                          </w:r>
                          <w:proofErr w:type="spellEnd"/>
                          <w:r w:rsidRPr="0024675E">
                            <w:rPr>
                              <w:sz w:val="16"/>
                            </w:rPr>
                            <w:t>, S., Anderson, L.L., Sowers, M., Fa</w:t>
                          </w:r>
                          <w:r>
                            <w:rPr>
                              <w:sz w:val="16"/>
                            </w:rPr>
                            <w:t xml:space="preserve">y, M.L., &amp; </w:t>
                          </w:r>
                          <w:proofErr w:type="spellStart"/>
                          <w:r>
                            <w:rPr>
                              <w:sz w:val="16"/>
                            </w:rPr>
                            <w:t>Kardell</w:t>
                          </w:r>
                          <w:proofErr w:type="spellEnd"/>
                          <w:r>
                            <w:rPr>
                              <w:sz w:val="16"/>
                            </w:rPr>
                            <w:t>, Y. (2015</w:t>
                          </w:r>
                          <w:r w:rsidRPr="0024675E">
                            <w:rPr>
                              <w:sz w:val="16"/>
                            </w:rPr>
                            <w:t>). In-home and Residential Long-Term Supports and Services for Persons with Intellectual or Developmental Disabilities: Status and Trends through 2013. Minneapolis, MN: University of Minnesota, Institute on Community Integration, Research and Training Center on Community Living.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8.2pt;margin-top:-5.8pt;width:409.4pt;height:5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" fillcolor="white [3201]" strokeweight=".5pt">
              <v:textbox>
                <w:txbxContent>
                  <w:p w:rsidR="0024675E" w:rsidRDefault="0024675E" w:rsidP="0024675E">
                    <w:pPr>
                      <w:jc w:val="both"/>
                    </w:pPr>
                    <w:r>
                      <w:rPr>
                        <w:sz w:val="16"/>
                      </w:rPr>
                      <w:t xml:space="preserve">Data Source: Larson, S.A., </w:t>
                    </w:r>
                    <w:proofErr w:type="spellStart"/>
                    <w:r>
                      <w:rPr>
                        <w:sz w:val="16"/>
                      </w:rPr>
                      <w:t>Ai</w:t>
                    </w:r>
                    <w:r w:rsidRPr="0024675E">
                      <w:rPr>
                        <w:sz w:val="16"/>
                      </w:rPr>
                      <w:t>iken</w:t>
                    </w:r>
                    <w:proofErr w:type="spellEnd"/>
                    <w:r w:rsidRPr="0024675E">
                      <w:rPr>
                        <w:sz w:val="16"/>
                      </w:rPr>
                      <w:t xml:space="preserve">, F., Hewitt, A., </w:t>
                    </w:r>
                    <w:proofErr w:type="spellStart"/>
                    <w:r w:rsidRPr="0024675E">
                      <w:rPr>
                        <w:sz w:val="16"/>
                      </w:rPr>
                      <w:t>Pettingell</w:t>
                    </w:r>
                    <w:proofErr w:type="spellEnd"/>
                    <w:r w:rsidRPr="0024675E">
                      <w:rPr>
                        <w:sz w:val="16"/>
                      </w:rPr>
                      <w:t>, S., Anderson, L.L., Sowers, M., Fa</w:t>
                    </w:r>
                    <w:r>
                      <w:rPr>
                        <w:sz w:val="16"/>
                      </w:rPr>
                      <w:t xml:space="preserve">y, M.L., &amp; </w:t>
                    </w:r>
                    <w:proofErr w:type="spellStart"/>
                    <w:r>
                      <w:rPr>
                        <w:sz w:val="16"/>
                      </w:rPr>
                      <w:t>Kardell</w:t>
                    </w:r>
                    <w:proofErr w:type="spellEnd"/>
                    <w:r>
                      <w:rPr>
                        <w:sz w:val="16"/>
                      </w:rPr>
                      <w:t>, Y. (2015</w:t>
                    </w:r>
                    <w:r w:rsidRPr="0024675E">
                      <w:rPr>
                        <w:sz w:val="16"/>
                      </w:rPr>
                      <w:t>). In-home and Residential Long-Term Supports and Services for Persons with Intellectual or Developmental Disabilities: Status and Trends through 2013. Minneapolis, MN: University of Minnesota, Institute on Community Integration, Research and Training Center on Community Living.</w:t>
                    </w:r>
                  </w:p>
                </w:txbxContent>
              </v:textbox>
            </v:shape>
          </w:pict>
        </mc:Fallback>
      </mc:AlternateContent>
    </w:r>
    <w:r w:rsidRPr="00355BBA">
      <w:rPr>
        <w:noProof/>
      </w:rPr>
      <w:drawing>
        <wp:anchor distT="0" distB="0" distL="114300" distR="114300" simplePos="0" relativeHeight="251658240" behindDoc="0" locked="0" layoutInCell="1" allowOverlap="1" wp14:anchorId="0662875F" wp14:editId="0CF00747">
          <wp:simplePos x="0" y="0"/>
          <wp:positionH relativeFrom="page">
            <wp:posOffset>201295</wp:posOffset>
          </wp:positionH>
          <wp:positionV relativeFrom="paragraph">
            <wp:posOffset>-292543</wp:posOffset>
          </wp:positionV>
          <wp:extent cx="1778447" cy="877367"/>
          <wp:effectExtent l="0" t="0" r="0" b="0"/>
          <wp:wrapSquare wrapText="bothSides"/>
          <wp:docPr id="14" name="Picture 14" descr="C:\Users\LLA\Desktop\FISP\FISP logo_w_websites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LA\Desktop\FISP\FISP logo_w_websites-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447" cy="8773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75E">
      <w:rPr>
        <w:sz w:val="16"/>
      </w:rPr>
      <w:t xml:space="preserve">  </w:t>
    </w:r>
    <w: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AA" w:rsidRDefault="008673AA" w:rsidP="00004AC9">
      <w:pPr>
        <w:spacing w:after="0" w:line="240" w:lineRule="auto"/>
      </w:pPr>
      <w:r>
        <w:separator/>
      </w:r>
    </w:p>
  </w:footnote>
  <w:footnote w:type="continuationSeparator" w:id="0">
    <w:p w:rsidR="008673AA" w:rsidRDefault="008673AA" w:rsidP="00004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AC9" w:rsidRPr="00355BBA" w:rsidRDefault="00821432" w:rsidP="00004AC9">
    <w:pPr>
      <w:pStyle w:val="Header"/>
      <w:jc w:val="center"/>
      <w:rPr>
        <w:rFonts w:ascii="Georgia" w:hAnsi="Georgia"/>
        <w:b/>
        <w:color w:val="538135" w:themeColor="accent6" w:themeShade="BF"/>
        <w:sz w:val="36"/>
        <w:szCs w:val="36"/>
      </w:rPr>
    </w:pPr>
    <w:r>
      <w:rPr>
        <w:rFonts w:ascii="Georgia" w:hAnsi="Georgia"/>
        <w:b/>
        <w:color w:val="538135" w:themeColor="accent6" w:themeShade="BF"/>
        <w:sz w:val="36"/>
        <w:szCs w:val="36"/>
      </w:rPr>
      <w:t>Children and Adults</w:t>
    </w:r>
    <w:r w:rsidR="00FD6797">
      <w:rPr>
        <w:rFonts w:ascii="Georgia" w:hAnsi="Georgia"/>
        <w:b/>
        <w:color w:val="538135" w:themeColor="accent6" w:themeShade="BF"/>
        <w:sz w:val="36"/>
        <w:szCs w:val="36"/>
      </w:rPr>
      <w:t xml:space="preserve"> </w:t>
    </w:r>
    <w:r w:rsidR="006756D2">
      <w:rPr>
        <w:rFonts w:ascii="Georgia" w:hAnsi="Georgia"/>
        <w:b/>
        <w:color w:val="538135" w:themeColor="accent6" w:themeShade="BF"/>
        <w:sz w:val="36"/>
        <w:szCs w:val="36"/>
      </w:rPr>
      <w:t xml:space="preserve">with IDD </w:t>
    </w:r>
    <w:r w:rsidR="00FD6797">
      <w:rPr>
        <w:rFonts w:ascii="Georgia" w:hAnsi="Georgia"/>
        <w:b/>
        <w:color w:val="538135" w:themeColor="accent6" w:themeShade="BF"/>
        <w:sz w:val="36"/>
        <w:szCs w:val="36"/>
      </w:rPr>
      <w:t xml:space="preserve">Receiving LTSS in </w:t>
    </w:r>
    <w:r>
      <w:rPr>
        <w:rFonts w:ascii="Georgia" w:hAnsi="Georgia"/>
        <w:b/>
        <w:color w:val="538135" w:themeColor="accent6" w:themeShade="BF"/>
        <w:sz w:val="36"/>
        <w:szCs w:val="36"/>
      </w:rPr>
      <w:t xml:space="preserve">a </w:t>
    </w:r>
    <w:r w:rsidR="00FD6797">
      <w:rPr>
        <w:rFonts w:ascii="Georgia" w:hAnsi="Georgia"/>
        <w:b/>
        <w:color w:val="538135" w:themeColor="accent6" w:themeShade="BF"/>
        <w:sz w:val="36"/>
        <w:szCs w:val="36"/>
      </w:rPr>
      <w:t>Family</w:t>
    </w:r>
    <w:r>
      <w:rPr>
        <w:rFonts w:ascii="Georgia" w:hAnsi="Georgia"/>
        <w:b/>
        <w:color w:val="538135" w:themeColor="accent6" w:themeShade="BF"/>
        <w:sz w:val="36"/>
        <w:szCs w:val="36"/>
      </w:rPr>
      <w:t xml:space="preserve"> Home, their Own</w:t>
    </w:r>
    <w:r w:rsidR="00FD6797">
      <w:rPr>
        <w:rFonts w:ascii="Georgia" w:hAnsi="Georgia"/>
        <w:b/>
        <w:color w:val="538135" w:themeColor="accent6" w:themeShade="BF"/>
        <w:sz w:val="36"/>
        <w:szCs w:val="36"/>
      </w:rPr>
      <w:t xml:space="preserve"> Home</w:t>
    </w:r>
    <w:r>
      <w:rPr>
        <w:rFonts w:ascii="Georgia" w:hAnsi="Georgia"/>
        <w:b/>
        <w:color w:val="538135" w:themeColor="accent6" w:themeShade="BF"/>
        <w:sz w:val="36"/>
        <w:szCs w:val="36"/>
      </w:rPr>
      <w:t xml:space="preserve"> or Other Settings</w:t>
    </w:r>
    <w:r w:rsidR="00FD6797">
      <w:rPr>
        <w:rFonts w:ascii="Georgia" w:hAnsi="Georgia"/>
        <w:b/>
        <w:color w:val="538135" w:themeColor="accent6" w:themeShade="BF"/>
        <w:sz w:val="36"/>
        <w:szCs w:val="36"/>
      </w:rPr>
      <w:t xml:space="preserve"> in Ohio</w:t>
    </w:r>
    <w:r w:rsidR="00355BBA" w:rsidRPr="00355BBA">
      <w:rPr>
        <w:rFonts w:ascii="Georgia" w:hAnsi="Georgia"/>
        <w:b/>
        <w:color w:val="538135" w:themeColor="accent6" w:themeShade="BF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2EB"/>
    <w:rsid w:val="00004AC9"/>
    <w:rsid w:val="000B2989"/>
    <w:rsid w:val="00201B3B"/>
    <w:rsid w:val="0024675E"/>
    <w:rsid w:val="00355BBA"/>
    <w:rsid w:val="003F7CF2"/>
    <w:rsid w:val="006756D2"/>
    <w:rsid w:val="007C6422"/>
    <w:rsid w:val="007D4B43"/>
    <w:rsid w:val="007F209B"/>
    <w:rsid w:val="0081458B"/>
    <w:rsid w:val="00821432"/>
    <w:rsid w:val="008402BA"/>
    <w:rsid w:val="008673AA"/>
    <w:rsid w:val="008A46EE"/>
    <w:rsid w:val="008B271B"/>
    <w:rsid w:val="008E42EB"/>
    <w:rsid w:val="00923AA7"/>
    <w:rsid w:val="00933F1B"/>
    <w:rsid w:val="009938AF"/>
    <w:rsid w:val="009C0966"/>
    <w:rsid w:val="00AA768D"/>
    <w:rsid w:val="00B242EB"/>
    <w:rsid w:val="00B4068E"/>
    <w:rsid w:val="00CB7D4E"/>
    <w:rsid w:val="00CC5F4A"/>
    <w:rsid w:val="00D40528"/>
    <w:rsid w:val="00DC2BB0"/>
    <w:rsid w:val="00EB3FEF"/>
    <w:rsid w:val="00F879FA"/>
    <w:rsid w:val="00FD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996226A-61FC-42DC-BAC9-A505160D2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4AC9"/>
  </w:style>
  <w:style w:type="paragraph" w:styleId="Footer">
    <w:name w:val="footer"/>
    <w:basedOn w:val="Normal"/>
    <w:link w:val="FooterChar"/>
    <w:uiPriority w:val="99"/>
    <w:unhideWhenUsed/>
    <w:rsid w:val="00004A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4AC9"/>
  </w:style>
  <w:style w:type="paragraph" w:customStyle="1" w:styleId="Default">
    <w:name w:val="Default"/>
    <w:rsid w:val="00004AC9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character" w:customStyle="1" w:styleId="A0">
    <w:name w:val="A0"/>
    <w:uiPriority w:val="99"/>
    <w:rsid w:val="00004AC9"/>
    <w:rPr>
      <w:rFonts w:cs="Open Sans"/>
      <w:color w:val="000000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>
                <a:solidFill>
                  <a:schemeClr val="accent6">
                    <a:lumMod val="75000"/>
                  </a:schemeClr>
                </a:solidFill>
              </a:rPr>
              <a:t>Ohio Service</a:t>
            </a:r>
            <a:r>
              <a:rPr lang="en-US" sz="1200" baseline="0">
                <a:solidFill>
                  <a:schemeClr val="accent6">
                    <a:lumMod val="75000"/>
                  </a:schemeClr>
                </a:solidFill>
              </a:rPr>
              <a:t> Recipients with IDD Living in Own or Family Homes 1996-2013</a:t>
            </a:r>
            <a:endParaRPr lang="en-US" sz="1200">
              <a:solidFill>
                <a:schemeClr val="accent6">
                  <a:lumMod val="75000"/>
                </a:schemeClr>
              </a:solidFill>
            </a:endParaRPr>
          </a:p>
        </c:rich>
      </c:tx>
      <c:layout>
        <c:manualLayout>
          <c:xMode val="edge"/>
          <c:yMode val="edge"/>
          <c:x val="0.1361823472658803"/>
          <c:y val="2.302025782688766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3140373263618726"/>
          <c:y val="0.15953038674033149"/>
          <c:w val="0.82188955629558158"/>
          <c:h val="0.73366359246530644"/>
        </c:manualLayout>
      </c:layout>
      <c:lineChart>
        <c:grouping val="standard"/>
        <c:varyColors val="0"/>
        <c:ser>
          <c:idx val="0"/>
          <c:order val="0"/>
          <c:tx>
            <c:strRef>
              <c:f>longitudinal!$C$1</c:f>
              <c:strCache>
                <c:ptCount val="1"/>
                <c:pt idx="0">
                  <c:v>Family</c:v>
                </c:pt>
              </c:strCache>
            </c:strRef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extLst>
                <c:ext xmlns:c15="http://schemas.microsoft.com/office/drawing/2012/chart" uri="{02D57815-91ED-43cb-92C2-25804820EDAC}">
                  <c15:fullRef>
                    <c15:sqref>longitudinal!$B$2:$B$20</c15:sqref>
                  </c15:fullRef>
                </c:ext>
              </c:extLst>
              <c:f>(longitudinal!$B$2,longitudinal!$B$7,longitudinal!$B$12,longitudinal!$B$17,longitudinal!$B$20)</c:f>
              <c:numCache>
                <c:formatCode>General</c:formatCode>
                <c:ptCount val="5"/>
                <c:pt idx="0">
                  <c:v>1996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2013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longitudinal!$C$2:$C$20</c15:sqref>
                  </c15:fullRef>
                </c:ext>
              </c:extLst>
              <c:f>(longitudinal!$C$2,longitudinal!$C$7,longitudinal!$C$12,longitudinal!$C$17,longitudinal!$C$20)</c:f>
              <c:numCache>
                <c:formatCode>#,##0</c:formatCode>
                <c:ptCount val="5"/>
                <c:pt idx="0">
                  <c:v>26912</c:v>
                </c:pt>
                <c:pt idx="1">
                  <c:v>12726</c:v>
                </c:pt>
                <c:pt idx="2">
                  <c:v>12831</c:v>
                </c:pt>
                <c:pt idx="3">
                  <c:v>19939</c:v>
                </c:pt>
                <c:pt idx="4">
                  <c:v>69358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longitudinal!$D$1</c:f>
              <c:strCache>
                <c:ptCount val="1"/>
                <c:pt idx="0">
                  <c:v>Own Home</c:v>
                </c:pt>
              </c:strCache>
            </c:strRef>
          </c:tx>
          <c:spPr>
            <a:ln w="28575" cap="rnd">
              <a:solidFill>
                <a:schemeClr val="accent1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extLst>
                <c:ext xmlns:c15="http://schemas.microsoft.com/office/drawing/2012/chart" uri="{02D57815-91ED-43cb-92C2-25804820EDAC}">
                  <c15:fullRef>
                    <c15:sqref>longitudinal!$B$2:$B$20</c15:sqref>
                  </c15:fullRef>
                </c:ext>
              </c:extLst>
              <c:f>(longitudinal!$B$2,longitudinal!$B$7,longitudinal!$B$12,longitudinal!$B$17,longitudinal!$B$20)</c:f>
              <c:numCache>
                <c:formatCode>General</c:formatCode>
                <c:ptCount val="5"/>
                <c:pt idx="0">
                  <c:v>1996</c:v>
                </c:pt>
                <c:pt idx="1">
                  <c:v>2000</c:v>
                </c:pt>
                <c:pt idx="2">
                  <c:v>2005</c:v>
                </c:pt>
                <c:pt idx="3">
                  <c:v>2010</c:v>
                </c:pt>
                <c:pt idx="4">
                  <c:v>2013</c:v>
                </c:pt>
              </c:numCache>
            </c:numRef>
          </c:cat>
          <c:val>
            <c:numRef>
              <c:extLst>
                <c:ext xmlns:c15="http://schemas.microsoft.com/office/drawing/2012/chart" uri="{02D57815-91ED-43cb-92C2-25804820EDAC}">
                  <c15:fullRef>
                    <c15:sqref>longitudinal!$D$2:$D$20</c15:sqref>
                  </c15:fullRef>
                </c:ext>
              </c:extLst>
              <c:f>(longitudinal!$D$2,longitudinal!$D$7,longitudinal!$D$12,longitudinal!$D$17,longitudinal!$D$20)</c:f>
              <c:numCache>
                <c:formatCode>#,##0</c:formatCode>
                <c:ptCount val="5"/>
                <c:pt idx="0">
                  <c:v>3058</c:v>
                </c:pt>
                <c:pt idx="1">
                  <c:v>4175</c:v>
                </c:pt>
                <c:pt idx="2">
                  <c:v>3110</c:v>
                </c:pt>
                <c:pt idx="3">
                  <c:v>11032</c:v>
                </c:pt>
                <c:pt idx="4">
                  <c:v>14837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213055800"/>
        <c:axId val="213053448"/>
      </c:lineChart>
      <c:catAx>
        <c:axId val="2130558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53448"/>
        <c:crosses val="autoZero"/>
        <c:auto val="1"/>
        <c:lblAlgn val="ctr"/>
        <c:lblOffset val="100"/>
        <c:noMultiLvlLbl val="1"/>
      </c:catAx>
      <c:valAx>
        <c:axId val="2130534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#,##0" sourceLinked="1"/>
        <c:majorTickMark val="out"/>
        <c:minorTickMark val="none"/>
        <c:tickLblPos val="nextTo"/>
        <c:spPr>
          <a:noFill/>
          <a:ln>
            <a:solidFill>
              <a:schemeClr val="accent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558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21138744083582353"/>
          <c:y val="0.24913574339119213"/>
          <c:w val="0.2713881678917559"/>
          <c:h val="0.21006148402720379"/>
        </c:manualLayout>
      </c:layout>
      <c:overlay val="0"/>
      <c:spPr>
        <a:noFill/>
        <a:ln>
          <a:solidFill>
            <a:schemeClr val="accent6">
              <a:lumMod val="75000"/>
            </a:schemeClr>
          </a:solidFill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accent6">
                    <a:lumMod val="75000"/>
                  </a:schemeClr>
                </a:solidFill>
              </a:rPr>
              <a:t>Waiver Recipients in Ohio</a:t>
            </a:r>
            <a:r>
              <a:rPr lang="en-US" baseline="0">
                <a:solidFill>
                  <a:schemeClr val="accent6">
                    <a:lumMod val="75000"/>
                  </a:schemeClr>
                </a:solidFill>
              </a:rPr>
              <a:t> </a:t>
            </a:r>
            <a:r>
              <a:rPr lang="en-US">
                <a:solidFill>
                  <a:schemeClr val="accent6">
                    <a:lumMod val="75000"/>
                  </a:schemeClr>
                </a:solidFill>
              </a:rPr>
              <a:t>by Age and Setting FY 2013</a:t>
            </a:r>
          </a:p>
        </c:rich>
      </c:tx>
      <c:overlay val="1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1917408889462587"/>
          <c:y val="0.11865021872265967"/>
          <c:w val="0.88069333290305918"/>
          <c:h val="0.8011450046893238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'setting by age'!$B$2</c:f>
              <c:strCache>
                <c:ptCount val="1"/>
                <c:pt idx="0">
                  <c:v>Birth to 21 years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chemeClr val="accent6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'setting by age'!$A$3:$A$4</c:f>
              <c:strCache>
                <c:ptCount val="2"/>
                <c:pt idx="0">
                  <c:v>Family Home</c:v>
                </c:pt>
                <c:pt idx="1">
                  <c:v>Other</c:v>
                </c:pt>
              </c:strCache>
            </c:strRef>
          </c:cat>
          <c:val>
            <c:numRef>
              <c:f>'setting by age'!$B$3:$B$4</c:f>
              <c:numCache>
                <c:formatCode>#,##0</c:formatCode>
                <c:ptCount val="2"/>
                <c:pt idx="0">
                  <c:v>5424</c:v>
                </c:pt>
                <c:pt idx="1">
                  <c:v>634</c:v>
                </c:pt>
              </c:numCache>
            </c:numRef>
          </c:val>
        </c:ser>
        <c:ser>
          <c:idx val="1"/>
          <c:order val="1"/>
          <c:tx>
            <c:strRef>
              <c:f>'setting by age'!$C$2</c:f>
              <c:strCache>
                <c:ptCount val="1"/>
                <c:pt idx="0">
                  <c:v>22 years or older</c:v>
                </c:pt>
              </c:strCache>
            </c:strRef>
          </c:tx>
          <c:spPr>
            <a:solidFill>
              <a:schemeClr val="accent1">
                <a:lumMod val="7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'setting by age'!$A$3:$A$4</c:f>
              <c:strCache>
                <c:ptCount val="2"/>
                <c:pt idx="0">
                  <c:v>Family Home</c:v>
                </c:pt>
                <c:pt idx="1">
                  <c:v>Other</c:v>
                </c:pt>
              </c:strCache>
            </c:strRef>
          </c:cat>
          <c:val>
            <c:numRef>
              <c:f>'setting by age'!$C$3:$C$4</c:f>
              <c:numCache>
                <c:formatCode>#,##0</c:formatCode>
                <c:ptCount val="2"/>
                <c:pt idx="0">
                  <c:v>12152</c:v>
                </c:pt>
                <c:pt idx="1">
                  <c:v>14643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213054624"/>
        <c:axId val="290066216"/>
      </c:barChart>
      <c:catAx>
        <c:axId val="2130546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90066216"/>
        <c:crosses val="autoZero"/>
        <c:auto val="1"/>
        <c:lblAlgn val="ctr"/>
        <c:lblOffset val="100"/>
        <c:noMultiLvlLbl val="0"/>
      </c:catAx>
      <c:valAx>
        <c:axId val="290066216"/>
        <c:scaling>
          <c:orientation val="minMax"/>
          <c:max val="17000"/>
          <c:min val="0"/>
        </c:scaling>
        <c:delete val="0"/>
        <c:axPos val="l"/>
        <c:majorGridlines>
          <c:spPr>
            <a:ln w="9525" cap="flat" cmpd="sng" algn="ctr">
              <a:noFill/>
              <a:round/>
            </a:ln>
            <a:effectLst/>
          </c:spPr>
        </c:majorGridlines>
        <c:numFmt formatCode="#,##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13054624"/>
        <c:crosses val="autoZero"/>
        <c:crossBetween val="between"/>
        <c:minorUnit val="100"/>
      </c:valAx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7171512628544382"/>
          <c:y val="0.35486239027319527"/>
          <c:w val="0.27076267348770322"/>
          <c:h val="0.17321137398240927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 baseline="0">
                <a:solidFill>
                  <a:schemeClr val="accent6">
                    <a:lumMod val="75000"/>
                  </a:schemeClr>
                </a:solidFill>
                <a:latin typeface="Georgia" panose="02040502050405020303" pitchFamily="18" charset="0"/>
              </a:rPr>
              <a:t>Living Arrangements of LTSS Recipients with IDD in Ohio June 30, 2013</a:t>
            </a:r>
          </a:p>
        </c:rich>
      </c:tx>
      <c:layout>
        <c:manualLayout>
          <c:xMode val="edge"/>
          <c:yMode val="edge"/>
          <c:x val="0.12350731402874317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9499585353133789"/>
          <c:y val="0.23696162979627547"/>
          <c:w val="0.58904887703369324"/>
          <c:h val="0.71761113194184056"/>
        </c:manualLayout>
      </c:layout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</c:spPr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'Fy 2012 setting type'!$B$1:$D$1</c:f>
              <c:strCache>
                <c:ptCount val="3"/>
                <c:pt idx="0">
                  <c:v>Family home</c:v>
                </c:pt>
                <c:pt idx="1">
                  <c:v>Own home</c:v>
                </c:pt>
                <c:pt idx="2">
                  <c:v>Other</c:v>
                </c:pt>
              </c:strCache>
            </c:strRef>
          </c:cat>
          <c:val>
            <c:numRef>
              <c:f>'Fy 2012 setting type'!$B$2:$D$2</c:f>
              <c:numCache>
                <c:formatCode>#,##0</c:formatCode>
                <c:ptCount val="3"/>
                <c:pt idx="0">
                  <c:v>58851</c:v>
                </c:pt>
                <c:pt idx="1">
                  <c:v>13641</c:v>
                </c:pt>
                <c:pt idx="2">
                  <c:v>14185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Minnesota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L Anderson</dc:creator>
  <cp:keywords/>
  <dc:description/>
  <cp:lastModifiedBy>Libby J Hallas-Muchow</cp:lastModifiedBy>
  <cp:revision>2</cp:revision>
  <dcterms:created xsi:type="dcterms:W3CDTF">2015-05-18T17:59:00Z</dcterms:created>
  <dcterms:modified xsi:type="dcterms:W3CDTF">2015-05-18T17:59:00Z</dcterms:modified>
</cp:coreProperties>
</file>